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Organic Chemistry Polymers and Paper 6 Hint Cards</w:t>
      </w:r>
    </w:p>
    <w:p>
      <w:r>
        <w:rPr>
          <w:rFonts w:ascii="Arial Unicode MS" w:hAnsi="Arial Unicode MS"/>
        </w:rPr>
        <w:t>Offer a next step quietly during independent practice. Remove the card for the exit check. Print only the chapter or module pages needed. Chapter 17: pages 2–4. Chapter 18: pages 5–6. Paper 6: pages 7–9.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17A Formulae and organic families</w:t>
      </w:r>
    </w:p>
    <w:p>
      <w:r>
        <w:rPr>
          <w:rFonts w:ascii="Arial Unicode MS" w:hAnsi="Arial Unicode MS"/>
        </w:rPr>
        <w:t>1. Count atoms before judging whether two formulae describe the same molecule.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pPr>
        <w:pStyle w:val="Title"/>
      </w:pPr>
      <w:r>
        <w:rPr>
          <w:rFonts w:ascii="Arial Unicode MS" w:hAnsi="Arial Unicode MS"/>
        </w:rPr>
        <w:t>17B Names and structural isomers</w:t>
      </w:r>
    </w:p>
    <w:p>
      <w:r>
        <w:rPr>
          <w:rFonts w:ascii="Arial Unicode MS" w:hAnsi="Arial Unicode MS"/>
        </w:rPr>
        <w:t>1. First compare molecular formulae. Only then compare the arrangement.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17C Petroleum and cracking</w:t>
      </w:r>
    </w:p>
    <w:p>
      <w:r>
        <w:rPr>
          <w:rFonts w:ascii="Arial Unicode MS" w:hAnsi="Arial Unicode MS"/>
        </w:rPr>
        <w:t>1. Separate a physical separation from a chemical reaction.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pPr>
        <w:pStyle w:val="Title"/>
      </w:pPr>
      <w:r>
        <w:rPr>
          <w:rFonts w:ascii="Arial Unicode MS" w:hAnsi="Arial Unicode MS"/>
        </w:rPr>
        <w:t>17D Alkane and alkene reactions</w:t>
      </w:r>
    </w:p>
    <w:p>
      <w:r>
        <w:rPr>
          <w:rFonts w:ascii="Arial Unicode MS" w:hAnsi="Arial Unicode MS"/>
        </w:rPr>
        <w:t>1. For addition, open C=C to C–C and attach the new atoms without losing existing atoms.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17E Ethanol production and uses</w:t>
      </w:r>
    </w:p>
    <w:p>
      <w:r>
        <w:rPr>
          <w:rFonts w:ascii="Arial Unicode MS" w:hAnsi="Arial Unicode MS"/>
        </w:rPr>
        <w:t>1. Compare the same feature for both routes, then link it to the producer’s need.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pPr>
        <w:pStyle w:val="Title"/>
      </w:pPr>
      <w:r>
        <w:rPr>
          <w:rFonts w:ascii="Arial Unicode MS" w:hAnsi="Arial Unicode MS"/>
        </w:rPr>
        <w:t>17F Carboxylic acids and esters</w:t>
      </w:r>
    </w:p>
    <w:p>
      <w:r>
        <w:rPr>
          <w:rFonts w:ascii="Arial Unicode MS" w:hAnsi="Arial Unicode MS"/>
        </w:rPr>
        <w:t>1. Split an ester at C(=O)–O. Identify the acid-derived and alcohol-derived portions.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18A Addition polymers</w:t>
      </w:r>
    </w:p>
    <w:p>
      <w:r>
        <w:rPr>
          <w:rFonts w:ascii="Arial Unicode MS" w:hAnsi="Arial Unicode MS"/>
        </w:rPr>
        <w:t>1. Keep both former C=C carbons in the backbone and preserve their side groups.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pPr>
        <w:pStyle w:val="Title"/>
      </w:pPr>
      <w:r>
        <w:rPr>
          <w:rFonts w:ascii="Arial Unicode MS" w:hAnsi="Arial Unicode MS"/>
        </w:rPr>
        <w:t>18B Condensation polymers</w:t>
      </w:r>
    </w:p>
    <w:p>
      <w:r>
        <w:rPr>
          <w:rFonts w:ascii="Arial Unicode MS" w:hAnsi="Arial Unicode MS"/>
        </w:rPr>
        <w:t>1. Locate the carbonyl carbon, then inspect the next atom in the chain.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18C Proteins and plastic disposal</w:t>
      </w:r>
    </w:p>
    <w:p>
      <w:r>
        <w:rPr>
          <w:rFonts w:ascii="Arial Unicode MS" w:hAnsi="Arial Unicode MS"/>
        </w:rPr>
        <w:t>1. Name the structural feature first, then connect it to the property or process.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P6A Apparatus and measurements</w:t>
      </w:r>
    </w:p>
    <w:p>
      <w:r>
        <w:rPr>
          <w:rFonts w:ascii="Arial Unicode MS" w:hAnsi="Arial Unicode MS"/>
        </w:rPr>
        <w:t>1. Check which direction the scale increases. Subtract the initial reading.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pPr>
        <w:pStyle w:val="Title"/>
      </w:pPr>
      <w:r>
        <w:rPr>
          <w:rFonts w:ascii="Arial Unicode MS" w:hAnsi="Arial Unicode MS"/>
        </w:rPr>
        <w:t>P6B Separation and salt preparation</w:t>
      </w:r>
    </w:p>
    <w:p>
      <w:r>
        <w:rPr>
          <w:rFonts w:ascii="Arial Unicode MS" w:hAnsi="Arial Unicode MS"/>
        </w:rPr>
        <w:t>1. Identify whether each component is dissolved, insoluble or volatile.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P6C Observations and qualitative analysis</w:t>
      </w:r>
    </w:p>
    <w:p>
      <w:r>
        <w:rPr>
          <w:rFonts w:ascii="Arial Unicode MS" w:hAnsi="Arial Unicode MS"/>
        </w:rPr>
        <w:t>1. Use every observation, including what happens when more reagent is added.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pPr>
        <w:pStyle w:val="Title"/>
      </w:pPr>
      <w:r>
        <w:rPr>
          <w:rFonts w:ascii="Arial Unicode MS" w:hAnsi="Arial Unicode MS"/>
        </w:rPr>
        <w:t>P6D Tables graphs and evaluation</w:t>
      </w:r>
    </w:p>
    <w:p>
      <w:r>
        <w:rPr>
          <w:rFonts w:ascii="Arial Unicode MS" w:hAnsi="Arial Unicode MS"/>
        </w:rPr>
        <w:t>1. Connect each improvement to the named error and its effect on the result.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P6E Planning an investigation</w:t>
      </w:r>
    </w:p>
    <w:p>
      <w:r>
        <w:rPr>
          <w:rFonts w:ascii="Arial Unicode MS" w:hAnsi="Arial Unicode MS"/>
        </w:rPr>
        <w:t>1. Write the measurement and control variables before the procedure.</w:t>
      </w:r>
    </w:p>
    <w:p>
      <w:r>
        <w:rPr>
          <w:rFonts w:ascii="Arial Unicode MS" w:hAnsi="Arial Unicode MS"/>
        </w:rPr>
        <w:t>2. Use the worked example to choose a first step.</w:t>
      </w:r>
    </w:p>
    <w:p>
      <w:r>
        <w:rPr>
          <w:rFonts w:ascii="Arial Unicode MS" w:hAnsi="Arial Unicode MS"/>
        </w:rPr>
        <w:t>3. Check the formulae, units or observations against the question.</w:t>
      </w:r>
    </w:p>
    <w:p>
      <w:r>
        <w:rPr>
          <w:rFonts w:ascii="Arial Unicode MS" w:hAnsi="Arial Unicode MS"/>
        </w:rPr>
        <w:t>Self check: Compare the first point where your reasoning differs. Explain the rule you used.</w:t>
      </w:r>
    </w:p>
    <w:p>
      <w:pPr>
        <w:spacing w:line="1100" w:lineRule="exact" w:after="0"/>
      </w:pP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17–18 and P6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17–18 and P6 Hint Cards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